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AC8FF">
      <w:pPr>
        <w:keepNext w:val="0"/>
        <w:keepLines w:val="0"/>
        <w:pageBreakBefore w:val="0"/>
        <w:kinsoku/>
        <w:wordWrap/>
        <w:overflowPunct/>
        <w:topLinePunct w:val="0"/>
        <w:autoSpaceDE/>
        <w:autoSpaceDN/>
        <w:bidi w:val="0"/>
        <w:adjustRightInd/>
        <w:snapToGrid/>
        <w:spacing w:line="560" w:lineRule="exact"/>
        <w:jc w:val="right"/>
        <w:textAlignment w:val="auto"/>
        <w:rPr>
          <w:rFonts w:ascii="宋体" w:hAnsi="宋体" w:eastAsia="宋体"/>
          <w:b/>
          <w:sz w:val="28"/>
          <w:szCs w:val="28"/>
          <w:highlight w:val="none"/>
        </w:rPr>
      </w:pPr>
      <w:r>
        <w:rPr>
          <w:rFonts w:hint="eastAsia" w:ascii="宋体" w:hAnsi="宋体" w:eastAsia="宋体"/>
          <w:b/>
          <w:sz w:val="28"/>
          <w:szCs w:val="28"/>
          <w:highlight w:val="none"/>
        </w:rPr>
        <w:t>编号：</w:t>
      </w:r>
      <w:r>
        <w:rPr>
          <w:rFonts w:hint="eastAsia" w:ascii="宋体" w:hAnsi="宋体" w:eastAsia="宋体"/>
          <w:b/>
          <w:sz w:val="28"/>
          <w:szCs w:val="28"/>
          <w:highlight w:val="none"/>
          <w:lang w:eastAsia="zh-CN"/>
        </w:rPr>
        <w:t>麓谷发展</w:t>
      </w:r>
      <w:r>
        <w:rPr>
          <w:rFonts w:ascii="宋体" w:hAnsi="宋体" w:eastAsia="宋体"/>
          <w:b/>
          <w:sz w:val="28"/>
          <w:szCs w:val="28"/>
          <w:highlight w:val="none"/>
        </w:rPr>
        <w:t>[</w:t>
      </w:r>
      <w:r>
        <w:rPr>
          <w:rFonts w:hint="eastAsia" w:ascii="宋体" w:hAnsi="宋体" w:eastAsia="宋体"/>
          <w:b/>
          <w:sz w:val="28"/>
          <w:szCs w:val="28"/>
          <w:highlight w:val="none"/>
          <w:lang w:val="en-US" w:eastAsia="zh-CN"/>
        </w:rPr>
        <w:t>2025</w:t>
      </w:r>
      <w:r>
        <w:rPr>
          <w:rFonts w:ascii="宋体" w:hAnsi="宋体" w:eastAsia="宋体"/>
          <w:b/>
          <w:sz w:val="28"/>
          <w:szCs w:val="28"/>
          <w:highlight w:val="none"/>
        </w:rPr>
        <w:t>]</w:t>
      </w:r>
      <w:r>
        <w:rPr>
          <w:rFonts w:hint="eastAsia" w:ascii="宋体" w:hAnsi="宋体" w:eastAsia="宋体"/>
          <w:b/>
          <w:sz w:val="28"/>
          <w:szCs w:val="28"/>
          <w:highlight w:val="none"/>
          <w:lang w:val="en-US" w:eastAsia="zh-CN"/>
        </w:rPr>
        <w:t>03</w:t>
      </w:r>
      <w:r>
        <w:rPr>
          <w:rFonts w:hint="eastAsia" w:ascii="宋体" w:hAnsi="宋体" w:eastAsia="宋体"/>
          <w:b/>
          <w:sz w:val="28"/>
          <w:szCs w:val="28"/>
          <w:highlight w:val="none"/>
        </w:rPr>
        <w:t>号</w:t>
      </w:r>
    </w:p>
    <w:p w14:paraId="4FB450F9">
      <w:pPr>
        <w:keepNext w:val="0"/>
        <w:keepLines w:val="0"/>
        <w:pageBreakBefore w:val="0"/>
        <w:kinsoku/>
        <w:wordWrap/>
        <w:overflowPunct/>
        <w:topLinePunct w:val="0"/>
        <w:autoSpaceDE/>
        <w:autoSpaceDN/>
        <w:bidi w:val="0"/>
        <w:adjustRightInd/>
        <w:snapToGrid/>
        <w:spacing w:before="156" w:beforeLines="50" w:after="156" w:afterLines="50" w:line="560" w:lineRule="exact"/>
        <w:jc w:val="center"/>
        <w:textAlignment w:val="auto"/>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借款协议</w:t>
      </w:r>
    </w:p>
    <w:p w14:paraId="7150C4D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甲方（出借人）：湖南麓谷发展集团有限公司</w:t>
      </w:r>
    </w:p>
    <w:p w14:paraId="581773B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住所：长沙高新开发区岳麓西大道2450号环创园B1栋2101-2107号</w:t>
      </w:r>
    </w:p>
    <w:p w14:paraId="657CEEF0">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乙方（借款人）：天际汽车（长沙）集团有限公司</w:t>
      </w:r>
    </w:p>
    <w:p w14:paraId="702E989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b/>
          <w:sz w:val="30"/>
          <w:szCs w:val="30"/>
        </w:rPr>
      </w:pPr>
      <w:r>
        <w:rPr>
          <w:rFonts w:hint="eastAsia" w:ascii="仿宋_GB2312" w:hAnsi="仿宋_GB2312" w:eastAsia="仿宋_GB2312" w:cs="仿宋_GB2312"/>
          <w:bCs/>
          <w:sz w:val="30"/>
          <w:szCs w:val="30"/>
        </w:rPr>
        <w:t>住所：长沙高新开发区文轩路27号麓谷钰园F1栋10楼1001室</w:t>
      </w:r>
    </w:p>
    <w:p w14:paraId="69FE29A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b/>
          <w:sz w:val="30"/>
          <w:szCs w:val="30"/>
        </w:rPr>
        <w:t>丙方（共同借款人）：上海智奥汽车有限公司</w:t>
      </w:r>
    </w:p>
    <w:p w14:paraId="2E4AC67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住所：上海市嘉定区福海路1688号</w:t>
      </w:r>
    </w:p>
    <w:p w14:paraId="1350135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7DB60BF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仿宋_GB2312" w:eastAsia="仿宋_GB2312" w:cs="仿宋_GB2312"/>
          <w:sz w:val="30"/>
          <w:szCs w:val="30"/>
          <w:lang w:val="en-US" w:eastAsia="zh-CN"/>
        </w:rPr>
      </w:pPr>
      <w:bookmarkStart w:id="5" w:name="_GoBack"/>
      <w:r>
        <w:rPr>
          <w:rFonts w:hint="eastAsia" w:ascii="仿宋_GB2312" w:hAnsi="仿宋_GB2312" w:eastAsia="仿宋_GB2312" w:cs="仿宋_GB2312"/>
          <w:sz w:val="30"/>
          <w:szCs w:val="30"/>
          <w:lang w:val="en-US" w:eastAsia="zh-CN"/>
        </w:rPr>
        <w:t>丁方（监管人）：长沙晟隆投资管理合伙企业（有限合伙）</w:t>
      </w:r>
    </w:p>
    <w:bookmarkEnd w:id="5"/>
    <w:p w14:paraId="4CDAC86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住所：</w:t>
      </w:r>
      <w:r>
        <w:rPr>
          <w:rFonts w:hint="eastAsia" w:ascii="仿宋_GB2312" w:hAnsi="仿宋_GB2312" w:eastAsia="仿宋_GB2312" w:cs="仿宋_GB2312"/>
          <w:sz w:val="30"/>
          <w:szCs w:val="30"/>
        </w:rPr>
        <w:t>长沙高新开发区岳麓西大道2450号环创园B1栋907-1</w:t>
      </w:r>
    </w:p>
    <w:p w14:paraId="0B52131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p>
    <w:p w14:paraId="0BAA444A">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鉴于：</w:t>
      </w:r>
    </w:p>
    <w:p w14:paraId="5CEE8C9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甲方为乙方投资主体，因乙方当前经营困境，为</w:t>
      </w:r>
      <w:r>
        <w:rPr>
          <w:rFonts w:hint="eastAsia" w:ascii="仿宋_GB2312" w:hAnsi="仿宋_GB2312" w:eastAsia="仿宋_GB2312" w:cs="仿宋_GB2312"/>
          <w:sz w:val="30"/>
          <w:szCs w:val="30"/>
          <w:lang w:eastAsia="zh-CN"/>
        </w:rPr>
        <w:t>对企业当前情况进行系统性全面梳理</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以便后续引进战略投资者，</w:t>
      </w:r>
      <w:r>
        <w:rPr>
          <w:rFonts w:hint="eastAsia" w:ascii="仿宋_GB2312" w:hAnsi="仿宋_GB2312" w:eastAsia="仿宋_GB2312" w:cs="仿宋_GB2312"/>
          <w:sz w:val="30"/>
          <w:szCs w:val="30"/>
        </w:rPr>
        <w:t>乙方</w:t>
      </w:r>
      <w:r>
        <w:rPr>
          <w:rFonts w:hint="eastAsia" w:ascii="仿宋_GB2312" w:hAnsi="仿宋_GB2312" w:eastAsia="仿宋_GB2312" w:cs="仿宋_GB2312"/>
          <w:sz w:val="30"/>
          <w:szCs w:val="30"/>
          <w:lang w:eastAsia="zh-CN"/>
        </w:rPr>
        <w:t>向甲方申请不高于人民币壹仟万元整（小写：</w:t>
      </w:r>
      <w:r>
        <w:rPr>
          <w:rFonts w:hint="eastAsia" w:ascii="仿宋_GB2312" w:hAnsi="仿宋_GB2312" w:eastAsia="仿宋_GB2312" w:cs="仿宋_GB2312"/>
          <w:sz w:val="30"/>
          <w:szCs w:val="30"/>
          <w:lang w:val="en-US" w:eastAsia="zh-CN"/>
        </w:rPr>
        <w:t>￥10,000,000.00</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借款，丙方作为共同借款人，乙方、丙方共同承担借款清偿责任。</w:t>
      </w:r>
    </w:p>
    <w:p w14:paraId="4217E11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甲方、乙方、丙方均已经各自取得签署以及履行本借款协议的有权机构的内部决策同意。</w:t>
      </w:r>
    </w:p>
    <w:p w14:paraId="138AFFF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经各方协商一致，就借款事宜达成以下协议，供各方恪守履行：</w:t>
      </w:r>
    </w:p>
    <w:p w14:paraId="47E87937">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第一条 借款金额</w:t>
      </w:r>
      <w:r>
        <w:rPr>
          <w:rFonts w:hint="eastAsia" w:ascii="仿宋_GB2312" w:hAnsi="仿宋_GB2312" w:eastAsia="仿宋_GB2312" w:cs="仿宋_GB2312"/>
          <w:b/>
          <w:sz w:val="30"/>
          <w:szCs w:val="30"/>
          <w:lang w:eastAsia="zh-CN"/>
        </w:rPr>
        <w:t>、支付方式及期限</w:t>
      </w:r>
    </w:p>
    <w:p w14:paraId="16CAA1F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bookmarkStart w:id="0" w:name="_Hlk122798827"/>
      <w:bookmarkEnd w:id="0"/>
      <w:bookmarkStart w:id="1" w:name="_Hlk122798836"/>
      <w:bookmarkEnd w:id="1"/>
      <w:r>
        <w:rPr>
          <w:rFonts w:hint="eastAsia" w:ascii="仿宋_GB2312" w:hAnsi="仿宋_GB2312" w:eastAsia="仿宋_GB2312" w:cs="仿宋_GB2312"/>
          <w:sz w:val="30"/>
          <w:szCs w:val="30"/>
          <w:lang w:val="en-US" w:eastAsia="zh-CN"/>
        </w:rPr>
        <w:t>1.借款金额。</w:t>
      </w:r>
      <w:r>
        <w:rPr>
          <w:rFonts w:hint="eastAsia" w:ascii="仿宋_GB2312" w:hAnsi="仿宋_GB2312" w:eastAsia="仿宋_GB2312" w:cs="仿宋_GB2312"/>
          <w:sz w:val="30"/>
          <w:szCs w:val="30"/>
        </w:rPr>
        <w:t>各方协商一致，由甲方向乙方</w:t>
      </w:r>
      <w:r>
        <w:rPr>
          <w:rFonts w:hint="eastAsia" w:ascii="仿宋_GB2312" w:hAnsi="仿宋_GB2312" w:eastAsia="仿宋_GB2312" w:cs="仿宋_GB2312"/>
          <w:sz w:val="30"/>
          <w:szCs w:val="30"/>
          <w:lang w:eastAsia="zh-CN"/>
        </w:rPr>
        <w:t>指定主体</w:t>
      </w:r>
      <w:r>
        <w:rPr>
          <w:rFonts w:hint="eastAsia" w:ascii="仿宋_GB2312" w:hAnsi="仿宋_GB2312" w:eastAsia="仿宋_GB2312" w:cs="仿宋_GB2312"/>
          <w:sz w:val="30"/>
          <w:szCs w:val="30"/>
        </w:rPr>
        <w:t>丙方</w:t>
      </w:r>
      <w:r>
        <w:rPr>
          <w:rFonts w:hint="eastAsia" w:ascii="仿宋_GB2312" w:hAnsi="仿宋_GB2312" w:eastAsia="仿宋_GB2312" w:cs="仿宋_GB2312"/>
          <w:sz w:val="30"/>
          <w:szCs w:val="30"/>
          <w:lang w:eastAsia="zh-CN"/>
        </w:rPr>
        <w:t>，出借最高额不超过人民币壹仟万元整（小写：</w:t>
      </w:r>
      <w:r>
        <w:rPr>
          <w:rFonts w:hint="eastAsia" w:ascii="仿宋_GB2312" w:hAnsi="仿宋_GB2312" w:eastAsia="仿宋_GB2312" w:cs="仿宋_GB2312"/>
          <w:sz w:val="30"/>
          <w:szCs w:val="30"/>
          <w:lang w:val="en-US" w:eastAsia="zh-CN"/>
        </w:rPr>
        <w:t>￥10,000,000.00</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资金</w:t>
      </w:r>
      <w:r>
        <w:rPr>
          <w:rFonts w:hint="eastAsia" w:ascii="仿宋_GB2312" w:hAnsi="仿宋_GB2312" w:eastAsia="仿宋_GB2312" w:cs="仿宋_GB2312"/>
          <w:sz w:val="30"/>
          <w:szCs w:val="30"/>
        </w:rPr>
        <w:t>。甲方亦可以通过其关联方来实施或履行本协议约定的借款（放款）义务。</w:t>
      </w:r>
    </w:p>
    <w:p w14:paraId="0731E39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2.支付方式。该笔借款分两笔支付，第一笔为人民币陆佰万元整（小写：￥6,000,000.00），自本协议签署之日起</w:t>
      </w:r>
      <w:r>
        <w:rPr>
          <w:rFonts w:hint="eastAsia" w:ascii="仿宋_GB2312" w:hAnsi="仿宋_GB2312" w:eastAsia="仿宋_GB2312" w:cs="仿宋_GB2312"/>
          <w:sz w:val="30"/>
          <w:szCs w:val="30"/>
        </w:rPr>
        <w:t>【5】个工作日内</w:t>
      </w:r>
      <w:r>
        <w:rPr>
          <w:rFonts w:hint="eastAsia" w:ascii="仿宋_GB2312" w:hAnsi="仿宋_GB2312" w:eastAsia="仿宋_GB2312" w:cs="仿宋_GB2312"/>
          <w:sz w:val="30"/>
          <w:szCs w:val="30"/>
          <w:lang w:eastAsia="zh-CN"/>
        </w:rPr>
        <w:t>支付至乙方指定账户，第二笔为人民币肆佰万元整（小写：</w:t>
      </w:r>
      <w:r>
        <w:rPr>
          <w:rFonts w:hint="eastAsia" w:ascii="仿宋_GB2312" w:hAnsi="仿宋_GB2312" w:eastAsia="仿宋_GB2312" w:cs="仿宋_GB2312"/>
          <w:sz w:val="30"/>
          <w:szCs w:val="30"/>
          <w:lang w:val="en-US" w:eastAsia="zh-CN"/>
        </w:rPr>
        <w:t>￥4,000,000.00</w:t>
      </w:r>
      <w:r>
        <w:rPr>
          <w:rFonts w:hint="eastAsia" w:ascii="仿宋_GB2312" w:hAnsi="仿宋_GB2312" w:eastAsia="仿宋_GB2312" w:cs="仿宋_GB2312"/>
          <w:sz w:val="30"/>
          <w:szCs w:val="30"/>
          <w:lang w:eastAsia="zh-CN"/>
        </w:rPr>
        <w:t>），根据天际汽车</w:t>
      </w:r>
      <w:r>
        <w:rPr>
          <w:rFonts w:hint="eastAsia" w:ascii="仿宋_GB2312" w:hAnsi="仿宋_GB2312" w:eastAsia="仿宋_GB2312" w:cs="仿宋_GB2312"/>
          <w:sz w:val="30"/>
          <w:szCs w:val="30"/>
        </w:rPr>
        <w:t>维护工作小组实际资金需求节点支付。</w:t>
      </w:r>
    </w:p>
    <w:p w14:paraId="2332826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3.本协议借款期限【6】个月。</w:t>
      </w:r>
    </w:p>
    <w:p w14:paraId="0DE0ECC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借款开始日期以本协议正式生效后</w:t>
      </w:r>
      <w:r>
        <w:rPr>
          <w:rFonts w:hint="default" w:ascii="仿宋_GB2312" w:hAnsi="仿宋_GB2312" w:eastAsia="仿宋_GB2312" w:cs="仿宋_GB2312"/>
          <w:sz w:val="30"/>
          <w:szCs w:val="30"/>
          <w:lang w:val="en-US"/>
        </w:rPr>
        <w:t>，</w:t>
      </w:r>
      <w:r>
        <w:rPr>
          <w:rFonts w:hint="eastAsia" w:ascii="仿宋_GB2312" w:hAnsi="仿宋_GB2312" w:eastAsia="仿宋_GB2312" w:cs="仿宋_GB2312"/>
          <w:sz w:val="30"/>
          <w:szCs w:val="30"/>
          <w:lang w:eastAsia="zh-CN"/>
        </w:rPr>
        <w:t>第一笔</w:t>
      </w:r>
      <w:r>
        <w:rPr>
          <w:rFonts w:hint="eastAsia" w:ascii="仿宋_GB2312" w:hAnsi="仿宋_GB2312" w:eastAsia="仿宋_GB2312" w:cs="仿宋_GB2312"/>
          <w:sz w:val="30"/>
          <w:szCs w:val="30"/>
        </w:rPr>
        <w:t>资金实际到账日期为准</w:t>
      </w:r>
      <w:r>
        <w:rPr>
          <w:rFonts w:hint="eastAsia" w:ascii="仿宋_GB2312" w:hAnsi="仿宋_GB2312" w:eastAsia="仿宋_GB2312" w:cs="仿宋_GB2312"/>
          <w:sz w:val="30"/>
          <w:szCs w:val="30"/>
          <w:lang w:eastAsia="zh-CN"/>
        </w:rPr>
        <w:t>，两笔资金</w:t>
      </w:r>
      <w:r>
        <w:rPr>
          <w:rFonts w:hint="eastAsia" w:ascii="仿宋_GB2312" w:hAnsi="仿宋_GB2312" w:eastAsia="仿宋_GB2312" w:cs="仿宋_GB2312"/>
          <w:sz w:val="30"/>
          <w:szCs w:val="30"/>
        </w:rPr>
        <w:t>均与第一笔</w:t>
      </w:r>
      <w:r>
        <w:rPr>
          <w:rFonts w:hint="eastAsia" w:ascii="仿宋_GB2312" w:hAnsi="仿宋_GB2312" w:eastAsia="仿宋_GB2312" w:cs="仿宋_GB2312"/>
          <w:sz w:val="30"/>
          <w:szCs w:val="30"/>
          <w:lang w:eastAsia="zh-CN"/>
        </w:rPr>
        <w:t>资金</w:t>
      </w:r>
      <w:r>
        <w:rPr>
          <w:rFonts w:hint="eastAsia" w:ascii="仿宋_GB2312" w:hAnsi="仿宋_GB2312" w:eastAsia="仿宋_GB2312" w:cs="仿宋_GB2312"/>
          <w:sz w:val="30"/>
          <w:szCs w:val="30"/>
        </w:rPr>
        <w:t>到期之日一并到期。</w:t>
      </w:r>
    </w:p>
    <w:p w14:paraId="0E29E6EB">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第二条 借款用途、监管</w:t>
      </w:r>
    </w:p>
    <w:p w14:paraId="4466C7E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1.乙方、丙方指定如下</w:t>
      </w:r>
      <w:r>
        <w:rPr>
          <w:rFonts w:hint="eastAsia" w:ascii="仿宋_GB2312" w:hAnsi="仿宋_GB2312" w:eastAsia="仿宋_GB2312" w:cs="仿宋_GB2312"/>
          <w:sz w:val="30"/>
          <w:szCs w:val="30"/>
          <w:lang w:val="en-US" w:eastAsia="zh-CN"/>
        </w:rPr>
        <w:t>银行</w:t>
      </w:r>
      <w:r>
        <w:rPr>
          <w:rFonts w:hint="eastAsia" w:ascii="仿宋_GB2312" w:hAnsi="仿宋_GB2312" w:eastAsia="仿宋_GB2312" w:cs="仿宋_GB2312"/>
          <w:sz w:val="30"/>
          <w:szCs w:val="30"/>
        </w:rPr>
        <w:t>账户作为借入资金接收账户：</w:t>
      </w:r>
    </w:p>
    <w:p w14:paraId="4FD5CC8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账户名：上海智奥汽车有限公司</w:t>
      </w:r>
    </w:p>
    <w:p w14:paraId="4678CA4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开户银行：66150078801700002331</w:t>
      </w:r>
    </w:p>
    <w:p w14:paraId="0C42293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银行账号：上海浦东发展银行股份有限公司长沙麓谷科技支行</w:t>
      </w:r>
    </w:p>
    <w:p w14:paraId="0D2141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2</w:t>
      </w:r>
      <w:r>
        <w:rPr>
          <w:rFonts w:ascii="仿宋_GB2312" w:hAnsi="仿宋_GB2312" w:eastAsia="仿宋_GB2312" w:cs="仿宋_GB2312"/>
          <w:kern w:val="2"/>
          <w:sz w:val="30"/>
          <w:szCs w:val="30"/>
          <w:lang w:val="en-US" w:eastAsia="zh-CN" w:bidi="ar-SA"/>
        </w:rPr>
        <w:t>.</w:t>
      </w:r>
      <w:r>
        <w:rPr>
          <w:rFonts w:hint="eastAsia" w:ascii="仿宋_GB2312" w:hAnsi="仿宋_GB2312" w:eastAsia="仿宋_GB2312" w:cs="仿宋_GB2312"/>
          <w:kern w:val="2"/>
          <w:sz w:val="30"/>
          <w:szCs w:val="30"/>
          <w:lang w:val="en-US" w:eastAsia="zh-CN" w:bidi="ar-SA"/>
        </w:rPr>
        <w:t>借款资金</w:t>
      </w:r>
      <w:r>
        <w:rPr>
          <w:rFonts w:hint="eastAsia" w:ascii="仿宋_GB2312" w:hAnsi="仿宋_GB2312" w:eastAsia="仿宋_GB2312" w:cs="仿宋_GB2312"/>
          <w:sz w:val="30"/>
          <w:szCs w:val="30"/>
        </w:rPr>
        <w:t>进入到上述银行账户后，除非甲方书面同意变更借款用途，借款资金仅用于本协议约定用途，否则乙方、丙方应承担违约责任。</w:t>
      </w:r>
    </w:p>
    <w:p w14:paraId="17EE1F7D">
      <w:pPr>
        <w:keepNext w:val="0"/>
        <w:keepLines w:val="0"/>
        <w:pageBreakBefore w:val="0"/>
        <w:widowControl w:val="0"/>
        <w:tabs>
          <w:tab w:val="left" w:pos="312"/>
        </w:tabs>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.借款用途</w:t>
      </w:r>
      <w:r>
        <w:rPr>
          <w:rFonts w:hint="eastAsia" w:ascii="仿宋_GB2312" w:hAnsi="仿宋_GB2312" w:eastAsia="仿宋_GB2312" w:cs="仿宋_GB2312"/>
          <w:sz w:val="30"/>
          <w:szCs w:val="30"/>
          <w:lang w:eastAsia="zh-CN"/>
        </w:rPr>
        <w:t>。该笔借款专项用于天际汽车维护工作小组，聘请第三方机构协助负责天际汽车财务及债务梳理、诉讼梳理及应对、供应链梳理及走访等工作。丁方因配合开展引进战略投资者相关工作所产生的费用，甲、乙、丙方均同意在借款资金中据实报销（累计报销额度不超过</w:t>
      </w:r>
      <w:r>
        <w:rPr>
          <w:rFonts w:hint="eastAsia" w:ascii="仿宋_GB2312" w:hAnsi="仿宋_GB2312" w:eastAsia="仿宋_GB2312" w:cs="仿宋_GB2312"/>
          <w:sz w:val="30"/>
          <w:szCs w:val="30"/>
          <w:lang w:val="en-US" w:eastAsia="zh-CN"/>
        </w:rPr>
        <w:t>200万元</w:t>
      </w:r>
      <w:r>
        <w:rPr>
          <w:rFonts w:hint="eastAsia" w:ascii="仿宋_GB2312" w:hAnsi="仿宋_GB2312" w:eastAsia="仿宋_GB2312" w:cs="仿宋_GB2312"/>
          <w:sz w:val="30"/>
          <w:szCs w:val="30"/>
          <w:lang w:eastAsia="zh-CN"/>
        </w:rPr>
        <w:t>）。</w:t>
      </w:r>
    </w:p>
    <w:p w14:paraId="4F6C07D0">
      <w:pPr>
        <w:keepNext w:val="0"/>
        <w:keepLines w:val="0"/>
        <w:pageBreakBefore w:val="0"/>
        <w:widowControl w:val="0"/>
        <w:tabs>
          <w:tab w:val="left" w:pos="312"/>
        </w:tabs>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.监管方式</w:t>
      </w:r>
      <w:r>
        <w:rPr>
          <w:rFonts w:hint="eastAsia" w:ascii="仿宋_GB2312" w:hAnsi="仿宋_GB2312" w:eastAsia="仿宋_GB2312" w:cs="仿宋_GB2312"/>
          <w:sz w:val="30"/>
          <w:szCs w:val="30"/>
          <w:lang w:eastAsia="zh-CN"/>
        </w:rPr>
        <w:t>。上述账户由甲方指定丁方进行监管，账户终审网银</w:t>
      </w:r>
      <w:r>
        <w:rPr>
          <w:rFonts w:hint="eastAsia" w:ascii="仿宋_GB2312" w:hAnsi="仿宋_GB2312" w:eastAsia="仿宋_GB2312" w:cs="仿宋_GB2312"/>
          <w:sz w:val="30"/>
          <w:szCs w:val="30"/>
          <w:lang w:val="en-US" w:eastAsia="zh-CN"/>
        </w:rPr>
        <w:t>U盾由丁方</w:t>
      </w:r>
      <w:r>
        <w:rPr>
          <w:rFonts w:hint="eastAsia" w:ascii="仿宋_GB2312" w:hAnsi="仿宋_GB2312" w:eastAsia="仿宋_GB2312" w:cs="仿宋_GB2312"/>
          <w:sz w:val="30"/>
          <w:szCs w:val="30"/>
          <w:lang w:eastAsia="zh-CN"/>
        </w:rPr>
        <w:t>保管，且该笔专项借款金额对外支付方式仅可使用网银支付。</w:t>
      </w:r>
      <w:r>
        <w:rPr>
          <w:rFonts w:hint="eastAsia" w:ascii="仿宋_GB2312" w:hAnsi="仿宋_GB2312" w:eastAsia="仿宋_GB2312" w:cs="仿宋_GB2312"/>
          <w:sz w:val="30"/>
          <w:szCs w:val="30"/>
        </w:rPr>
        <w:t>乙方、丙方需提供请款资料及相应佐证</w:t>
      </w:r>
      <w:r>
        <w:rPr>
          <w:rFonts w:hint="eastAsia" w:ascii="仿宋_GB2312" w:hAnsi="仿宋_GB2312" w:eastAsia="仿宋_GB2312" w:cs="仿宋_GB2312"/>
          <w:sz w:val="30"/>
          <w:szCs w:val="30"/>
          <w:lang w:eastAsia="zh-CN"/>
        </w:rPr>
        <w:t>材料，经丁方对资料审核无误，以及天际汽车维护工作小组副组长、组长审批同意后，方可向第三方</w:t>
      </w:r>
      <w:r>
        <w:rPr>
          <w:rFonts w:hint="eastAsia" w:ascii="仿宋_GB2312" w:hAnsi="仿宋_GB2312" w:eastAsia="仿宋_GB2312" w:cs="仿宋_GB2312"/>
          <w:sz w:val="30"/>
          <w:szCs w:val="30"/>
        </w:rPr>
        <w:t>进行</w:t>
      </w:r>
      <w:r>
        <w:rPr>
          <w:rFonts w:hint="eastAsia" w:ascii="仿宋_GB2312" w:hAnsi="仿宋_GB2312" w:eastAsia="仿宋_GB2312" w:cs="仿宋_GB2312"/>
          <w:sz w:val="30"/>
          <w:szCs w:val="30"/>
          <w:lang w:eastAsia="zh-CN"/>
        </w:rPr>
        <w:t>支付相关费用</w:t>
      </w:r>
      <w:r>
        <w:rPr>
          <w:rFonts w:hint="eastAsia" w:ascii="仿宋_GB2312" w:hAnsi="仿宋_GB2312" w:eastAsia="仿宋_GB2312" w:cs="仿宋_GB2312"/>
          <w:sz w:val="30"/>
          <w:szCs w:val="30"/>
        </w:rPr>
        <w:t>。</w:t>
      </w:r>
    </w:p>
    <w:p w14:paraId="6E4F155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甲方有权根据</w:t>
      </w:r>
      <w:r>
        <w:rPr>
          <w:rFonts w:hint="eastAsia" w:ascii="仿宋_GB2312" w:hAnsi="仿宋_GB2312" w:eastAsia="仿宋_GB2312" w:cs="仿宋_GB2312"/>
          <w:sz w:val="30"/>
          <w:szCs w:val="30"/>
          <w:lang w:eastAsia="zh-CN"/>
        </w:rPr>
        <w:t>维护工作小组工作</w:t>
      </w:r>
      <w:r>
        <w:rPr>
          <w:rFonts w:hint="eastAsia" w:ascii="仿宋_GB2312" w:hAnsi="仿宋_GB2312" w:eastAsia="仿宋_GB2312" w:cs="仿宋_GB2312"/>
          <w:sz w:val="30"/>
          <w:szCs w:val="30"/>
        </w:rPr>
        <w:t>情况，在任一阶段要求乙方且乙方应当结合实际进展报告阶段性成果。</w:t>
      </w:r>
    </w:p>
    <w:p w14:paraId="22D47C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kern w:val="2"/>
          <w:sz w:val="30"/>
          <w:szCs w:val="30"/>
          <w:lang w:val="en-US" w:eastAsia="zh-CN" w:bidi="ar-SA"/>
        </w:rPr>
        <w:t xml:space="preserve">第三条 </w:t>
      </w:r>
      <w:r>
        <w:rPr>
          <w:rFonts w:hint="eastAsia" w:ascii="仿宋_GB2312" w:hAnsi="仿宋_GB2312" w:eastAsia="仿宋_GB2312" w:cs="仿宋_GB2312"/>
          <w:b/>
          <w:sz w:val="30"/>
          <w:szCs w:val="30"/>
          <w:lang w:eastAsia="zh-CN"/>
        </w:rPr>
        <w:t>利息及利率</w:t>
      </w:r>
    </w:p>
    <w:p w14:paraId="5767082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借款利率：年利率【</w:t>
      </w:r>
      <w:r>
        <w:rPr>
          <w:rFonts w:hint="eastAsia" w:ascii="仿宋_GB2312" w:hAnsi="仿宋_GB2312" w:eastAsia="仿宋_GB2312" w:cs="仿宋_GB2312"/>
          <w:sz w:val="30"/>
          <w:szCs w:val="30"/>
          <w:lang w:val="en-US" w:eastAsia="zh-CN"/>
        </w:rPr>
        <w:t>5.5</w:t>
      </w:r>
      <w:r>
        <w:rPr>
          <w:rFonts w:hint="eastAsia" w:ascii="仿宋_GB2312" w:hAnsi="仿宋_GB2312" w:eastAsia="仿宋_GB2312" w:cs="仿宋_GB2312"/>
          <w:sz w:val="30"/>
          <w:szCs w:val="30"/>
          <w:lang w:eastAsia="zh-CN"/>
        </w:rPr>
        <w:t>】%，按实际借款时间计算。利随本清。</w:t>
      </w:r>
    </w:p>
    <w:p w14:paraId="227BEF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eastAsia="zh-CN"/>
        </w:rPr>
        <w:t>第四条</w:t>
      </w:r>
      <w:r>
        <w:rPr>
          <w:rFonts w:hint="eastAsia" w:ascii="仿宋_GB2312" w:hAnsi="仿宋_GB2312" w:eastAsia="仿宋_GB2312" w:cs="仿宋_GB2312"/>
          <w:b/>
          <w:sz w:val="30"/>
          <w:szCs w:val="30"/>
          <w:lang w:val="en-US" w:eastAsia="zh-CN"/>
        </w:rPr>
        <w:t xml:space="preserve"> 还款安排</w:t>
      </w:r>
    </w:p>
    <w:p w14:paraId="6FAD3C6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1.本协议借款期限届满，乙方应当立即归还借款本金及利息。</w:t>
      </w:r>
    </w:p>
    <w:p w14:paraId="0A3BE42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2.甲方收款账户信息如下：</w:t>
      </w:r>
    </w:p>
    <w:p w14:paraId="08850AD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户名：湖南麓谷发展集团有限公司</w:t>
      </w:r>
    </w:p>
    <w:p w14:paraId="21E8B26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开户行：中国建设银行长沙麓谷科技支行</w:t>
      </w:r>
    </w:p>
    <w:p w14:paraId="21CC8D7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账号：43050178503600001398</w:t>
      </w:r>
    </w:p>
    <w:p w14:paraId="3FA0DCA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lang w:eastAsia="zh-CN"/>
        </w:rPr>
        <w:t>第五条</w:t>
      </w:r>
      <w:r>
        <w:rPr>
          <w:rFonts w:hint="eastAsia" w:ascii="仿宋_GB2312" w:hAnsi="仿宋_GB2312" w:eastAsia="仿宋_GB2312" w:cs="仿宋_GB2312"/>
          <w:b/>
          <w:sz w:val="30"/>
          <w:szCs w:val="30"/>
          <w:lang w:val="en-US" w:eastAsia="zh-CN"/>
        </w:rPr>
        <w:t xml:space="preserve"> </w:t>
      </w:r>
      <w:r>
        <w:rPr>
          <w:rFonts w:hint="eastAsia" w:ascii="仿宋_GB2312" w:hAnsi="仿宋_GB2312" w:eastAsia="仿宋_GB2312" w:cs="仿宋_GB2312"/>
          <w:b/>
          <w:sz w:val="30"/>
          <w:szCs w:val="30"/>
        </w:rPr>
        <w:t>违约责任</w:t>
      </w:r>
    </w:p>
    <w:p w14:paraId="51FF730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1.如借款期限届满之日，乙方、丙方未能按期偿还借款本金及其对应利息，则甲方</w:t>
      </w:r>
      <w:r>
        <w:rPr>
          <w:rFonts w:hint="eastAsia" w:ascii="仿宋_GB2312" w:hAnsi="仿宋_GB2312" w:eastAsia="仿宋_GB2312" w:cs="仿宋_GB2312"/>
          <w:sz w:val="30"/>
          <w:szCs w:val="30"/>
        </w:rPr>
        <w:t>有权以未偿还的借款本金及应付未付的借款利息之和为基数，按年利率</w:t>
      </w:r>
      <w:r>
        <w:rPr>
          <w:rFonts w:hint="eastAsia" w:ascii="仿宋_GB2312" w:hAnsi="仿宋_GB2312" w:eastAsia="仿宋_GB2312" w:cs="仿宋_GB2312"/>
          <w:sz w:val="30"/>
          <w:szCs w:val="30"/>
          <w:lang w:eastAsia="zh-CN"/>
        </w:rPr>
        <w:t>5</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%以实际逾期天数计收利息，直至</w:t>
      </w:r>
      <w:r>
        <w:rPr>
          <w:rFonts w:hint="eastAsia" w:ascii="仿宋_GB2312" w:hAnsi="仿宋_GB2312" w:eastAsia="仿宋_GB2312" w:cs="仿宋_GB2312"/>
          <w:sz w:val="30"/>
          <w:szCs w:val="30"/>
          <w:lang w:eastAsia="zh-CN"/>
        </w:rPr>
        <w:t>乙方、丙方</w:t>
      </w:r>
      <w:r>
        <w:rPr>
          <w:rFonts w:hint="eastAsia" w:ascii="仿宋_GB2312" w:hAnsi="仿宋_GB2312" w:eastAsia="仿宋_GB2312" w:cs="仿宋_GB2312"/>
          <w:sz w:val="30"/>
          <w:szCs w:val="30"/>
        </w:rPr>
        <w:t>清偿本息为止</w:t>
      </w:r>
      <w:r>
        <w:rPr>
          <w:rFonts w:hint="eastAsia" w:ascii="仿宋_GB2312" w:hAnsi="仿宋_GB2312" w:eastAsia="仿宋_GB2312" w:cs="仿宋_GB2312"/>
          <w:sz w:val="30"/>
          <w:szCs w:val="30"/>
          <w:lang w:eastAsia="zh-CN"/>
        </w:rPr>
        <w:t>。</w:t>
      </w:r>
    </w:p>
    <w:p w14:paraId="15183B4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乙方、丙方在履行本协议过程中如出现以下情形之一的，甲方有权随时要求乙方、丙方立即偿还借款本息，且甲方要求乙方、丙方偿还前述款项之日即为本</w:t>
      </w:r>
      <w:r>
        <w:rPr>
          <w:rFonts w:hint="eastAsia" w:ascii="仿宋_GB2312" w:hAnsi="仿宋_GB2312" w:eastAsia="仿宋_GB2312" w:cs="仿宋_GB2312"/>
          <w:sz w:val="30"/>
          <w:szCs w:val="30"/>
          <w:lang w:eastAsia="zh-CN"/>
        </w:rPr>
        <w:t>协议</w:t>
      </w:r>
      <w:r>
        <w:rPr>
          <w:rFonts w:hint="eastAsia" w:ascii="仿宋_GB2312" w:hAnsi="仿宋_GB2312" w:eastAsia="仿宋_GB2312" w:cs="仿宋_GB2312"/>
          <w:sz w:val="30"/>
          <w:szCs w:val="30"/>
        </w:rPr>
        <w:t>借款期限届满之日：</w:t>
      </w:r>
    </w:p>
    <w:p w14:paraId="487F549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（1）乙方、丙方未按本协议约定使用借款</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或未经甲方书面同意将借款用于本协议约定外之用途的；</w:t>
      </w:r>
    </w:p>
    <w:p w14:paraId="28354ED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（2）乙方、丙方违反本协议借款用途、监管方式等约定义务的；</w:t>
      </w:r>
    </w:p>
    <w:p w14:paraId="4D501B0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）乙方、丙方发生其他危及、损害或可能危及、损害甲方权益的重大事件。</w:t>
      </w:r>
    </w:p>
    <w:p w14:paraId="14F895C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如因乙方、丙方任一方违约引起纠纷或诉讼的，由此产生的费用(包括但不限于损失费、财产保全费、执行费、诉讼费、律师费、代理费、差旅费、评估费、拍卖费、邮寄费、送达费、公告费等)甲方可要求乙方、丙方任一方承担或共同承担。</w:t>
      </w:r>
    </w:p>
    <w:p w14:paraId="1059B812">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sz w:val="30"/>
          <w:szCs w:val="30"/>
        </w:rPr>
      </w:pPr>
      <w:bookmarkStart w:id="2" w:name="_Toc485667992"/>
      <w:bookmarkEnd w:id="2"/>
      <w:r>
        <w:rPr>
          <w:rFonts w:hint="eastAsia" w:ascii="仿宋_GB2312" w:hAnsi="仿宋_GB2312" w:eastAsia="仿宋_GB2312" w:cs="仿宋_GB2312"/>
          <w:b/>
          <w:sz w:val="30"/>
          <w:szCs w:val="30"/>
        </w:rPr>
        <w:t>第</w:t>
      </w:r>
      <w:r>
        <w:rPr>
          <w:rFonts w:hint="eastAsia" w:ascii="仿宋_GB2312" w:hAnsi="仿宋_GB2312" w:eastAsia="仿宋_GB2312" w:cs="仿宋_GB2312"/>
          <w:b/>
          <w:sz w:val="30"/>
          <w:szCs w:val="30"/>
          <w:lang w:eastAsia="zh-CN"/>
        </w:rPr>
        <w:t>六</w:t>
      </w:r>
      <w:r>
        <w:rPr>
          <w:rFonts w:hint="eastAsia" w:ascii="仿宋_GB2312" w:hAnsi="仿宋_GB2312" w:eastAsia="仿宋_GB2312" w:cs="仿宋_GB2312"/>
          <w:b/>
          <w:sz w:val="30"/>
          <w:szCs w:val="30"/>
        </w:rPr>
        <w:t>条 通知与送达</w:t>
      </w:r>
    </w:p>
    <w:p w14:paraId="30CF573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1.各方联系方式如下表所列示：</w:t>
      </w:r>
    </w:p>
    <w:tbl>
      <w:tblPr>
        <w:tblStyle w:val="8"/>
        <w:tblW w:w="8273"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003"/>
        <w:gridCol w:w="1079"/>
        <w:gridCol w:w="2881"/>
        <w:gridCol w:w="2168"/>
      </w:tblGrid>
      <w:tr w14:paraId="727D8E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142" w:type="dxa"/>
            <w:tcBorders>
              <w:top w:val="single" w:color="auto" w:sz="12" w:space="0"/>
            </w:tcBorders>
            <w:vAlign w:val="center"/>
          </w:tcPr>
          <w:p w14:paraId="097BFC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协议方</w:t>
            </w:r>
          </w:p>
        </w:tc>
        <w:tc>
          <w:tcPr>
            <w:tcW w:w="1003" w:type="dxa"/>
            <w:tcBorders>
              <w:top w:val="single" w:color="auto" w:sz="12" w:space="0"/>
            </w:tcBorders>
            <w:vAlign w:val="center"/>
          </w:tcPr>
          <w:p w14:paraId="7E2437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联系人</w:t>
            </w:r>
          </w:p>
        </w:tc>
        <w:tc>
          <w:tcPr>
            <w:tcW w:w="1079" w:type="dxa"/>
            <w:tcBorders>
              <w:top w:val="single" w:color="auto" w:sz="12" w:space="0"/>
            </w:tcBorders>
            <w:vAlign w:val="center"/>
          </w:tcPr>
          <w:p w14:paraId="3EEF75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电话</w:t>
            </w:r>
          </w:p>
        </w:tc>
        <w:tc>
          <w:tcPr>
            <w:tcW w:w="2881" w:type="dxa"/>
            <w:tcBorders>
              <w:top w:val="single" w:color="auto" w:sz="12" w:space="0"/>
            </w:tcBorders>
            <w:vAlign w:val="center"/>
          </w:tcPr>
          <w:p w14:paraId="420131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送达地址</w:t>
            </w:r>
          </w:p>
        </w:tc>
        <w:tc>
          <w:tcPr>
            <w:tcW w:w="2168" w:type="dxa"/>
            <w:tcBorders>
              <w:top w:val="single" w:color="auto" w:sz="12" w:space="0"/>
            </w:tcBorders>
            <w:vAlign w:val="center"/>
          </w:tcPr>
          <w:p w14:paraId="1BA6D5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邮   箱</w:t>
            </w:r>
          </w:p>
        </w:tc>
      </w:tr>
      <w:tr w14:paraId="477D0D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142" w:type="dxa"/>
            <w:vAlign w:val="center"/>
          </w:tcPr>
          <w:p w14:paraId="1B5F4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甲方</w:t>
            </w:r>
          </w:p>
        </w:tc>
        <w:tc>
          <w:tcPr>
            <w:tcW w:w="1003" w:type="dxa"/>
            <w:vAlign w:val="center"/>
          </w:tcPr>
          <w:p w14:paraId="7AE525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刘路敏</w:t>
            </w:r>
          </w:p>
        </w:tc>
        <w:tc>
          <w:tcPr>
            <w:tcW w:w="1079" w:type="dxa"/>
            <w:vAlign w:val="center"/>
          </w:tcPr>
          <w:p w14:paraId="75B3D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13548685575</w:t>
            </w:r>
          </w:p>
        </w:tc>
        <w:tc>
          <w:tcPr>
            <w:tcW w:w="2881" w:type="dxa"/>
            <w:vAlign w:val="center"/>
          </w:tcPr>
          <w:p w14:paraId="1A4D54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湖南省长沙市岳麓区环创企业广场</w:t>
            </w:r>
            <w:r>
              <w:rPr>
                <w:rFonts w:hint="eastAsia" w:ascii="宋体" w:hAnsi="宋体" w:eastAsia="宋体" w:cs="宋体"/>
                <w:kern w:val="0"/>
                <w:sz w:val="24"/>
                <w:szCs w:val="24"/>
                <w:lang w:val="en-US" w:eastAsia="zh-CN"/>
              </w:rPr>
              <w:t>B1栋21楼</w:t>
            </w:r>
          </w:p>
        </w:tc>
        <w:tc>
          <w:tcPr>
            <w:tcW w:w="2168" w:type="dxa"/>
            <w:vAlign w:val="center"/>
          </w:tcPr>
          <w:p w14:paraId="4A654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853973376@qq.com</w:t>
            </w:r>
          </w:p>
        </w:tc>
      </w:tr>
      <w:tr w14:paraId="2DFB29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142" w:type="dxa"/>
            <w:vAlign w:val="center"/>
          </w:tcPr>
          <w:p w14:paraId="48246F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乙方</w:t>
            </w:r>
          </w:p>
        </w:tc>
        <w:tc>
          <w:tcPr>
            <w:tcW w:w="1003" w:type="dxa"/>
            <w:vAlign w:val="center"/>
          </w:tcPr>
          <w:p w14:paraId="7F40E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崔航华</w:t>
            </w:r>
          </w:p>
        </w:tc>
        <w:tc>
          <w:tcPr>
            <w:tcW w:w="1079" w:type="dxa"/>
            <w:vAlign w:val="center"/>
          </w:tcPr>
          <w:p w14:paraId="0B9006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18601773642</w:t>
            </w:r>
          </w:p>
        </w:tc>
        <w:tc>
          <w:tcPr>
            <w:tcW w:w="2881" w:type="dxa"/>
            <w:vAlign w:val="center"/>
          </w:tcPr>
          <w:p w14:paraId="1C6C18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eastAsia="zh-CN"/>
              </w:rPr>
              <w:t>上海市嘉定区福海路</w:t>
            </w:r>
            <w:r>
              <w:rPr>
                <w:rFonts w:hint="eastAsia" w:ascii="宋体" w:hAnsi="宋体" w:eastAsia="宋体" w:cs="宋体"/>
                <w:kern w:val="0"/>
                <w:sz w:val="24"/>
                <w:szCs w:val="24"/>
                <w:highlight w:val="none"/>
                <w:lang w:val="en-US" w:eastAsia="zh-CN"/>
              </w:rPr>
              <w:t>1688号天际汽车</w:t>
            </w:r>
          </w:p>
        </w:tc>
        <w:tc>
          <w:tcPr>
            <w:tcW w:w="2168" w:type="dxa"/>
            <w:vAlign w:val="center"/>
          </w:tcPr>
          <w:p w14:paraId="4AF6F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cuihanghua@enovatemotors.com</w:t>
            </w:r>
          </w:p>
        </w:tc>
      </w:tr>
      <w:tr w14:paraId="26FAE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142" w:type="dxa"/>
            <w:vAlign w:val="center"/>
          </w:tcPr>
          <w:p w14:paraId="2DF635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丙方</w:t>
            </w:r>
          </w:p>
        </w:tc>
        <w:tc>
          <w:tcPr>
            <w:tcW w:w="1003" w:type="dxa"/>
            <w:vAlign w:val="center"/>
          </w:tcPr>
          <w:p w14:paraId="5A234E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单华寅</w:t>
            </w:r>
          </w:p>
        </w:tc>
        <w:tc>
          <w:tcPr>
            <w:tcW w:w="1079" w:type="dxa"/>
            <w:shd w:val="clear" w:color="auto" w:fill="auto"/>
            <w:vAlign w:val="center"/>
          </w:tcPr>
          <w:p w14:paraId="5257B0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0" w:firstLineChars="0"/>
              <w:jc w:val="center"/>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13917178803</w:t>
            </w:r>
          </w:p>
        </w:tc>
        <w:tc>
          <w:tcPr>
            <w:tcW w:w="2881" w:type="dxa"/>
            <w:shd w:val="clear" w:color="auto" w:fill="auto"/>
            <w:vAlign w:val="center"/>
          </w:tcPr>
          <w:p w14:paraId="6BAAB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eastAsia="zh-CN"/>
              </w:rPr>
              <w:t>湖南省长沙市望城区金州大道</w:t>
            </w:r>
            <w:r>
              <w:rPr>
                <w:rFonts w:hint="eastAsia" w:ascii="宋体" w:hAnsi="宋体" w:eastAsia="宋体" w:cs="宋体"/>
                <w:kern w:val="0"/>
                <w:sz w:val="24"/>
                <w:szCs w:val="24"/>
                <w:highlight w:val="none"/>
                <w:lang w:val="en-US" w:eastAsia="zh-CN"/>
              </w:rPr>
              <w:t>116号</w:t>
            </w:r>
          </w:p>
        </w:tc>
        <w:tc>
          <w:tcPr>
            <w:tcW w:w="2168" w:type="dxa"/>
            <w:shd w:val="clear" w:color="auto" w:fill="auto"/>
            <w:vAlign w:val="center"/>
          </w:tcPr>
          <w:p w14:paraId="35B96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rPr>
              <w:t>shanhuayin@enovatemotors.com</w:t>
            </w:r>
          </w:p>
        </w:tc>
      </w:tr>
    </w:tbl>
    <w:p w14:paraId="6887760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2.各方的联系方式如有任何变更，应在变更后五（5）个工作日内书面通知其他方，否则应承担对变更方不利的责任。</w:t>
      </w:r>
    </w:p>
    <w:p w14:paraId="23433ED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各方在本协议项下的一般联络事项，可以电话、传真、电子邮件等方式（可同时使用或任选组合）通知其他方；但如有正式法律文件，如违约通知等，应当以中国邮政特快专递的方式，按本协议约定的地址信息送达其他方；正式法律文件自送达或推定送达之日起生效。</w:t>
      </w:r>
    </w:p>
    <w:p w14:paraId="182646C4">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第</w:t>
      </w:r>
      <w:r>
        <w:rPr>
          <w:rFonts w:hint="eastAsia" w:ascii="仿宋_GB2312" w:hAnsi="仿宋_GB2312" w:eastAsia="仿宋_GB2312" w:cs="仿宋_GB2312"/>
          <w:b/>
          <w:bCs/>
          <w:sz w:val="30"/>
          <w:szCs w:val="30"/>
          <w:lang w:eastAsia="zh-CN"/>
        </w:rPr>
        <w:t>六</w:t>
      </w:r>
      <w:r>
        <w:rPr>
          <w:rFonts w:hint="eastAsia" w:ascii="仿宋_GB2312" w:hAnsi="仿宋_GB2312" w:eastAsia="仿宋_GB2312" w:cs="仿宋_GB2312"/>
          <w:b/>
          <w:bCs/>
          <w:sz w:val="30"/>
          <w:szCs w:val="30"/>
        </w:rPr>
        <w:t>条 争议解决</w:t>
      </w:r>
    </w:p>
    <w:p w14:paraId="77C6F33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履行本协议所产生的争议，适用中华人民共和国大陆地区（港、澳、台地区除外）法律、</w:t>
      </w:r>
      <w:r>
        <w:rPr>
          <w:rFonts w:hint="eastAsia" w:ascii="仿宋_GB2312" w:hAnsi="仿宋_GB2312" w:eastAsia="仿宋_GB2312" w:cs="仿宋_GB2312"/>
          <w:sz w:val="30"/>
          <w:szCs w:val="30"/>
          <w:lang w:val="en-US" w:eastAsia="zh-CN"/>
        </w:rPr>
        <w:t>法规</w:t>
      </w:r>
      <w:r>
        <w:rPr>
          <w:rFonts w:hint="eastAsia" w:ascii="仿宋_GB2312" w:hAnsi="仿宋_GB2312" w:eastAsia="仿宋_GB2312" w:cs="仿宋_GB2312"/>
          <w:sz w:val="30"/>
          <w:szCs w:val="30"/>
        </w:rPr>
        <w:t>，各方协商解决不成的，任意一方均可向甲方</w:t>
      </w:r>
      <w:r>
        <w:rPr>
          <w:rFonts w:hint="eastAsia" w:ascii="仿宋_GB2312" w:hAnsi="仿宋_GB2312" w:eastAsia="仿宋_GB2312" w:cs="仿宋_GB2312"/>
          <w:sz w:val="30"/>
          <w:szCs w:val="30"/>
          <w:lang w:eastAsia="zh-CN"/>
        </w:rPr>
        <w:t>所在地</w:t>
      </w:r>
      <w:r>
        <w:rPr>
          <w:rFonts w:hint="eastAsia" w:ascii="仿宋_GB2312" w:hAnsi="仿宋_GB2312" w:eastAsia="仿宋_GB2312" w:cs="仿宋_GB2312"/>
          <w:sz w:val="30"/>
          <w:szCs w:val="30"/>
        </w:rPr>
        <w:t>有管辖权的人民法院起诉。</w:t>
      </w:r>
    </w:p>
    <w:p w14:paraId="746E90B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第</w:t>
      </w:r>
      <w:r>
        <w:rPr>
          <w:rFonts w:hint="eastAsia" w:ascii="仿宋_GB2312" w:hAnsi="仿宋_GB2312" w:eastAsia="仿宋_GB2312" w:cs="仿宋_GB2312"/>
          <w:b/>
          <w:bCs/>
          <w:sz w:val="30"/>
          <w:szCs w:val="30"/>
          <w:lang w:eastAsia="zh-CN"/>
        </w:rPr>
        <w:t>七</w:t>
      </w:r>
      <w:r>
        <w:rPr>
          <w:rFonts w:hint="eastAsia" w:ascii="仿宋_GB2312" w:hAnsi="仿宋_GB2312" w:eastAsia="仿宋_GB2312" w:cs="仿宋_GB2312"/>
          <w:b/>
          <w:bCs/>
          <w:sz w:val="30"/>
          <w:szCs w:val="30"/>
        </w:rPr>
        <w:t>条  协议的生效及其他</w:t>
      </w:r>
    </w:p>
    <w:p w14:paraId="5C23135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1.经各方协商一致，可就本协议达成补充协议，补充协议构成本协议之不可分割部分，与本协议具有同等法律效力。</w:t>
      </w:r>
    </w:p>
    <w:p w14:paraId="2CD0BEF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2.本协议自各方法定代表人或授权代表签字</w:t>
      </w:r>
      <w:r>
        <w:rPr>
          <w:rFonts w:hint="eastAsia" w:ascii="仿宋_GB2312" w:hAnsi="仿宋_GB2312" w:eastAsia="仿宋_GB2312" w:cs="仿宋_GB2312"/>
          <w:sz w:val="30"/>
          <w:szCs w:val="30"/>
          <w:lang w:val="en-US" w:eastAsia="zh-CN"/>
        </w:rPr>
        <w:t>并加盖公章</w:t>
      </w:r>
      <w:r>
        <w:rPr>
          <w:rFonts w:hint="eastAsia" w:ascii="仿宋_GB2312" w:hAnsi="仿宋_GB2312" w:eastAsia="仿宋_GB2312" w:cs="仿宋_GB2312"/>
          <w:sz w:val="30"/>
          <w:szCs w:val="30"/>
        </w:rPr>
        <w:t>时生效。</w:t>
      </w:r>
    </w:p>
    <w:p w14:paraId="0F3BD4D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3.本协议一式</w:t>
      </w:r>
      <w:r>
        <w:rPr>
          <w:rFonts w:hint="eastAsia" w:ascii="仿宋_GB2312" w:hAnsi="仿宋_GB2312" w:eastAsia="仿宋_GB2312" w:cs="仿宋_GB2312"/>
          <w:sz w:val="30"/>
          <w:szCs w:val="30"/>
          <w:lang w:eastAsia="zh-CN"/>
        </w:rPr>
        <w:t>陆</w:t>
      </w:r>
      <w:r>
        <w:rPr>
          <w:rFonts w:hint="eastAsia" w:ascii="仿宋_GB2312" w:hAnsi="仿宋_GB2312" w:eastAsia="仿宋_GB2312" w:cs="仿宋_GB2312"/>
          <w:sz w:val="30"/>
          <w:szCs w:val="30"/>
        </w:rPr>
        <w:t>份，各方各执</w:t>
      </w:r>
      <w:r>
        <w:rPr>
          <w:rFonts w:hint="eastAsia" w:ascii="仿宋_GB2312" w:hAnsi="仿宋_GB2312" w:eastAsia="仿宋_GB2312" w:cs="仿宋_GB2312"/>
          <w:sz w:val="30"/>
          <w:szCs w:val="30"/>
          <w:lang w:eastAsia="zh-CN"/>
        </w:rPr>
        <w:t>两</w:t>
      </w:r>
      <w:r>
        <w:rPr>
          <w:rFonts w:hint="eastAsia" w:ascii="仿宋_GB2312" w:hAnsi="仿宋_GB2312" w:eastAsia="仿宋_GB2312" w:cs="仿宋_GB2312"/>
          <w:sz w:val="30"/>
          <w:szCs w:val="30"/>
        </w:rPr>
        <w:t>份。</w:t>
      </w:r>
    </w:p>
    <w:p w14:paraId="13B874C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bookmarkStart w:id="3" w:name="_Hlk122807288"/>
      <w:r>
        <w:rPr>
          <w:rFonts w:hint="eastAsia" w:ascii="仿宋_GB2312" w:hAnsi="仿宋_GB2312" w:eastAsia="仿宋_GB2312" w:cs="仿宋_GB2312"/>
          <w:sz w:val="30"/>
          <w:szCs w:val="30"/>
        </w:rPr>
        <w:t>（以下无正文，为各方签署页）</w:t>
      </w:r>
    </w:p>
    <w:p w14:paraId="673A5A37">
      <w:pPr>
        <w:keepNext w:val="0"/>
        <w:keepLines w:val="0"/>
        <w:pageBreakBefore w:val="0"/>
        <w:kinsoku/>
        <w:wordWrap/>
        <w:overflowPunct/>
        <w:topLinePunct w:val="0"/>
        <w:autoSpaceDE/>
        <w:autoSpaceDN/>
        <w:bidi w:val="0"/>
        <w:adjustRightInd/>
        <w:snapToGrid/>
        <w:spacing w:line="560" w:lineRule="exact"/>
        <w:textAlignment w:val="auto"/>
        <w:rPr>
          <w:rFonts w:ascii="宋体" w:hAnsi="宋体" w:eastAsia="宋体"/>
          <w:b/>
          <w:sz w:val="24"/>
          <w:szCs w:val="24"/>
        </w:rPr>
      </w:pPr>
    </w:p>
    <w:p w14:paraId="7F99CA36">
      <w:pPr>
        <w:keepNext w:val="0"/>
        <w:keepLines w:val="0"/>
        <w:pageBreakBefore w:val="0"/>
        <w:kinsoku/>
        <w:wordWrap/>
        <w:overflowPunct/>
        <w:topLinePunct w:val="0"/>
        <w:autoSpaceDE/>
        <w:autoSpaceDN/>
        <w:bidi w:val="0"/>
        <w:adjustRightInd/>
        <w:snapToGrid/>
        <w:spacing w:line="560" w:lineRule="exact"/>
        <w:textAlignment w:val="auto"/>
        <w:rPr>
          <w:rFonts w:ascii="宋体" w:hAnsi="宋体" w:eastAsia="宋体"/>
          <w:b/>
          <w:sz w:val="24"/>
          <w:szCs w:val="24"/>
        </w:rPr>
      </w:pPr>
      <w:r>
        <w:rPr>
          <w:rFonts w:hint="eastAsia" w:ascii="宋体" w:hAnsi="宋体" w:eastAsia="宋体"/>
          <w:b/>
          <w:sz w:val="24"/>
          <w:szCs w:val="24"/>
        </w:rPr>
        <w:br w:type="page"/>
      </w:r>
    </w:p>
    <w:p w14:paraId="2C8B061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（本页无正文</w:t>
      </w:r>
      <w:r>
        <w:rPr>
          <w:rFonts w:hint="eastAsia" w:ascii="仿宋_GB2312" w:hAnsi="仿宋_GB2312" w:eastAsia="仿宋_GB2312" w:cs="仿宋_GB2312"/>
          <w:sz w:val="30"/>
          <w:szCs w:val="30"/>
          <w:highlight w:val="none"/>
        </w:rPr>
        <w:t>，为编号【</w:t>
      </w:r>
      <w:r>
        <w:rPr>
          <w:rFonts w:hint="eastAsia" w:ascii="仿宋_GB2312" w:hAnsi="仿宋_GB2312" w:eastAsia="仿宋_GB2312" w:cs="仿宋_GB2312"/>
          <w:sz w:val="30"/>
          <w:szCs w:val="30"/>
          <w:highlight w:val="none"/>
          <w:lang w:eastAsia="zh-CN"/>
        </w:rPr>
        <w:t>麓谷发展[</w:t>
      </w:r>
      <w:r>
        <w:rPr>
          <w:rFonts w:hint="eastAsia" w:ascii="仿宋_GB2312" w:hAnsi="仿宋_GB2312" w:eastAsia="仿宋_GB2312" w:cs="仿宋_GB2312"/>
          <w:sz w:val="30"/>
          <w:szCs w:val="30"/>
          <w:highlight w:val="none"/>
          <w:lang w:val="en-US" w:eastAsia="zh-CN"/>
        </w:rPr>
        <w:t>2025</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lang w:val="en-US" w:eastAsia="zh-CN"/>
        </w:rPr>
        <w:t>03</w:t>
      </w:r>
      <w:r>
        <w:rPr>
          <w:rFonts w:hint="eastAsia" w:ascii="仿宋_GB2312" w:hAnsi="仿宋_GB2312" w:eastAsia="仿宋_GB2312" w:cs="仿宋_GB2312"/>
          <w:sz w:val="30"/>
          <w:szCs w:val="30"/>
          <w:highlight w:val="none"/>
        </w:rPr>
        <w:t>号】</w:t>
      </w:r>
      <w:r>
        <w:rPr>
          <w:rFonts w:hint="eastAsia" w:ascii="仿宋_GB2312" w:hAnsi="仿宋_GB2312" w:eastAsia="仿宋_GB2312" w:cs="仿宋_GB2312"/>
          <w:sz w:val="30"/>
          <w:szCs w:val="30"/>
        </w:rPr>
        <w:t>《借款协议》签署页）</w:t>
      </w:r>
    </w:p>
    <w:p w14:paraId="2BF7908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505D14F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甲方（盖章）：湖南麓谷发展集团有限公司</w:t>
      </w:r>
    </w:p>
    <w:p w14:paraId="3DA8C9E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法定代表人或授权代表：</w:t>
      </w:r>
    </w:p>
    <w:p w14:paraId="27A3DDD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7303801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7548A08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bookmarkStart w:id="4" w:name="_Hlk528850535"/>
      <w:r>
        <w:rPr>
          <w:rFonts w:hint="eastAsia" w:ascii="仿宋_GB2312" w:hAnsi="仿宋_GB2312" w:eastAsia="仿宋_GB2312" w:cs="仿宋_GB2312"/>
          <w:sz w:val="30"/>
          <w:szCs w:val="30"/>
        </w:rPr>
        <w:t>乙方（盖章）：天际汽车（长沙）集团有限公司</w:t>
      </w:r>
    </w:p>
    <w:p w14:paraId="1521F60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法定代表人或授权代表：</w:t>
      </w:r>
    </w:p>
    <w:p w14:paraId="0087152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1C5D6A5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11BB4C9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丙方（盖章）：上海智奥汽车有限公司</w:t>
      </w:r>
    </w:p>
    <w:bookmarkEnd w:id="4"/>
    <w:p w14:paraId="33A64E1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法定代表人或授权代表：</w:t>
      </w:r>
    </w:p>
    <w:p w14:paraId="038F11D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194C6BE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19E1246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丁方（盖章）：长沙晟隆投资管理合伙企业（有限合伙）</w:t>
      </w:r>
    </w:p>
    <w:p w14:paraId="22C1C72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法定代表人或授权代表：</w:t>
      </w:r>
    </w:p>
    <w:p w14:paraId="1A232AC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lang w:eastAsia="zh-CN"/>
        </w:rPr>
      </w:pPr>
    </w:p>
    <w:p w14:paraId="5449A47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772128F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5EFA2A5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p w14:paraId="027BFBF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p>
    <w:bookmarkEnd w:id="3"/>
    <w:p w14:paraId="527E784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righ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签署日期:    年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 xml:space="preserve">月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altName w:val="Arial"/>
    <w:panose1 w:val="020B0604020202020204"/>
    <w:charset w:val="80"/>
    <w:family w:val="auto"/>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1" w:fontKey="{F1ED5D45-60FE-4863-A678-06F6A98A75AC}"/>
  </w:font>
  <w:font w:name="仿宋_GB2312">
    <w:panose1 w:val="02010609030101010101"/>
    <w:charset w:val="86"/>
    <w:family w:val="modern"/>
    <w:pitch w:val="default"/>
    <w:sig w:usb0="00000001" w:usb1="080E0000" w:usb2="00000000" w:usb3="00000000" w:csb0="00040000" w:csb1="00000000"/>
    <w:embedRegular r:id="rId2" w:fontKey="{8F44A15A-9787-411B-A7E1-823FFF0D58C6}"/>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2F9B4">
    <w:pPr>
      <w:pStyle w:val="5"/>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8DE6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728DE65">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55C70340">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4ODE5YzUwNTgwMTRlZjgyNmViZGVhMGI0N2E5YjEifQ=="/>
    <w:docVar w:name="KSO_WPS_MARK_KEY" w:val="33d5f3a6-a64a-4650-9691-10cb1743dcfc"/>
  </w:docVars>
  <w:rsids>
    <w:rsidRoot w:val="001A7098"/>
    <w:rsid w:val="00106100"/>
    <w:rsid w:val="001A7098"/>
    <w:rsid w:val="00251D62"/>
    <w:rsid w:val="00425EDC"/>
    <w:rsid w:val="00466402"/>
    <w:rsid w:val="004D0760"/>
    <w:rsid w:val="00573849"/>
    <w:rsid w:val="0089475D"/>
    <w:rsid w:val="00953641"/>
    <w:rsid w:val="00B252F3"/>
    <w:rsid w:val="00B95526"/>
    <w:rsid w:val="00E61DD8"/>
    <w:rsid w:val="00EA2E79"/>
    <w:rsid w:val="00FC4958"/>
    <w:rsid w:val="01C0753F"/>
    <w:rsid w:val="01D134FA"/>
    <w:rsid w:val="02076F1C"/>
    <w:rsid w:val="02EF5DE1"/>
    <w:rsid w:val="04051239"/>
    <w:rsid w:val="041D4120"/>
    <w:rsid w:val="059960DD"/>
    <w:rsid w:val="05D45367"/>
    <w:rsid w:val="06F927FE"/>
    <w:rsid w:val="07C9650A"/>
    <w:rsid w:val="08372738"/>
    <w:rsid w:val="0B114967"/>
    <w:rsid w:val="0B774612"/>
    <w:rsid w:val="0EAD1204"/>
    <w:rsid w:val="0F816D9F"/>
    <w:rsid w:val="12686335"/>
    <w:rsid w:val="12AF4073"/>
    <w:rsid w:val="12F90BCC"/>
    <w:rsid w:val="14427070"/>
    <w:rsid w:val="159C27D0"/>
    <w:rsid w:val="1AFE42EE"/>
    <w:rsid w:val="1B415D93"/>
    <w:rsid w:val="1C5D17BA"/>
    <w:rsid w:val="1D2F2510"/>
    <w:rsid w:val="1F8A7308"/>
    <w:rsid w:val="1FC721DA"/>
    <w:rsid w:val="1FF64E72"/>
    <w:rsid w:val="20534B8A"/>
    <w:rsid w:val="20782F9E"/>
    <w:rsid w:val="20BD3045"/>
    <w:rsid w:val="21235C17"/>
    <w:rsid w:val="21260C4B"/>
    <w:rsid w:val="246B6A3F"/>
    <w:rsid w:val="259C3D72"/>
    <w:rsid w:val="2664724C"/>
    <w:rsid w:val="27402404"/>
    <w:rsid w:val="29FC6AB7"/>
    <w:rsid w:val="2BE13F0B"/>
    <w:rsid w:val="2D297497"/>
    <w:rsid w:val="2E0571D6"/>
    <w:rsid w:val="2F7C5485"/>
    <w:rsid w:val="2FCB33F0"/>
    <w:rsid w:val="303164B3"/>
    <w:rsid w:val="325347C0"/>
    <w:rsid w:val="339A4C4A"/>
    <w:rsid w:val="339E279C"/>
    <w:rsid w:val="366854D4"/>
    <w:rsid w:val="377203B8"/>
    <w:rsid w:val="38E76B84"/>
    <w:rsid w:val="394144E6"/>
    <w:rsid w:val="39A32618"/>
    <w:rsid w:val="3A064841"/>
    <w:rsid w:val="3B3E76E7"/>
    <w:rsid w:val="3D7824A0"/>
    <w:rsid w:val="3DD05246"/>
    <w:rsid w:val="3E21417C"/>
    <w:rsid w:val="3FCC2284"/>
    <w:rsid w:val="3FFA5B87"/>
    <w:rsid w:val="42BD2703"/>
    <w:rsid w:val="42D261AF"/>
    <w:rsid w:val="42F8373B"/>
    <w:rsid w:val="44202F4A"/>
    <w:rsid w:val="4517434D"/>
    <w:rsid w:val="4538350C"/>
    <w:rsid w:val="47680E90"/>
    <w:rsid w:val="47EF335F"/>
    <w:rsid w:val="48D92A3A"/>
    <w:rsid w:val="4A203C21"/>
    <w:rsid w:val="4B2652EA"/>
    <w:rsid w:val="4B7B7ABD"/>
    <w:rsid w:val="4C9E67F0"/>
    <w:rsid w:val="4CC43F81"/>
    <w:rsid w:val="4CC823D1"/>
    <w:rsid w:val="4CCE4B12"/>
    <w:rsid w:val="4EB27CA8"/>
    <w:rsid w:val="4FB460BA"/>
    <w:rsid w:val="4FBB4CC9"/>
    <w:rsid w:val="50B21160"/>
    <w:rsid w:val="5108493A"/>
    <w:rsid w:val="53631216"/>
    <w:rsid w:val="54CC18C2"/>
    <w:rsid w:val="54D76903"/>
    <w:rsid w:val="557430F6"/>
    <w:rsid w:val="574609F4"/>
    <w:rsid w:val="57644465"/>
    <w:rsid w:val="57FF0DDC"/>
    <w:rsid w:val="59857EA5"/>
    <w:rsid w:val="5ACF9BCE"/>
    <w:rsid w:val="5B1F1D55"/>
    <w:rsid w:val="5F7B2EE3"/>
    <w:rsid w:val="60BE7C61"/>
    <w:rsid w:val="61796F88"/>
    <w:rsid w:val="621C68CD"/>
    <w:rsid w:val="62A212A2"/>
    <w:rsid w:val="63EB2AC5"/>
    <w:rsid w:val="6477675E"/>
    <w:rsid w:val="66912194"/>
    <w:rsid w:val="67D951BF"/>
    <w:rsid w:val="68A83BB2"/>
    <w:rsid w:val="6AFF0727"/>
    <w:rsid w:val="6B5275DD"/>
    <w:rsid w:val="6C0A7EB8"/>
    <w:rsid w:val="6CB70040"/>
    <w:rsid w:val="6DFA6436"/>
    <w:rsid w:val="6DFD2FEA"/>
    <w:rsid w:val="6E323D80"/>
    <w:rsid w:val="6EE132F8"/>
    <w:rsid w:val="7278653E"/>
    <w:rsid w:val="72C66443"/>
    <w:rsid w:val="72CC3682"/>
    <w:rsid w:val="732301DD"/>
    <w:rsid w:val="73E0739B"/>
    <w:rsid w:val="74055B35"/>
    <w:rsid w:val="743D0BF3"/>
    <w:rsid w:val="77435070"/>
    <w:rsid w:val="77AFF70F"/>
    <w:rsid w:val="79A731EA"/>
    <w:rsid w:val="7BAC2D3A"/>
    <w:rsid w:val="7CC51FF8"/>
    <w:rsid w:val="7E9B76F3"/>
    <w:rsid w:val="7ECD5A97"/>
    <w:rsid w:val="7EDE30CE"/>
    <w:rsid w:val="7EEA1BAF"/>
    <w:rsid w:val="7F491A3A"/>
    <w:rsid w:val="7F6A7224"/>
    <w:rsid w:val="7F8FC4C8"/>
    <w:rsid w:val="7FE43A05"/>
    <w:rsid w:val="7FEF375A"/>
    <w:rsid w:val="9573A9C0"/>
    <w:rsid w:val="9FFEC879"/>
    <w:rsid w:val="B719E0AD"/>
    <w:rsid w:val="B7FBD101"/>
    <w:rsid w:val="B8F399D6"/>
    <w:rsid w:val="BBDFA7B2"/>
    <w:rsid w:val="BE4F425B"/>
    <w:rsid w:val="BFD7797F"/>
    <w:rsid w:val="EDDEE057"/>
    <w:rsid w:val="F7E9CFE7"/>
    <w:rsid w:val="FBC61B00"/>
    <w:rsid w:val="FBE9CB34"/>
    <w:rsid w:val="FF65B066"/>
    <w:rsid w:val="FF6F3BDF"/>
    <w:rsid w:val="FFEFE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uiPriority="0" w:name="heading 2"/>
    <w:lsdException w:uiPriority="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uiPriority="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18"/>
    <w:autoRedefine/>
    <w:qFormat/>
    <w:uiPriority w:val="99"/>
    <w:pPr>
      <w:keepNext/>
      <w:widowControl/>
      <w:spacing w:before="60" w:after="240"/>
      <w:jc w:val="left"/>
      <w:outlineLvl w:val="0"/>
    </w:pPr>
    <w:rPr>
      <w:rFonts w:ascii="Times New Roman" w:hAnsi="Times New Roman" w:eastAsia="宋体"/>
      <w:b/>
      <w:kern w:val="0"/>
      <w:sz w:val="24"/>
      <w:szCs w:val="20"/>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15"/>
    <w:autoRedefine/>
    <w:unhideWhenUsed/>
    <w:qFormat/>
    <w:uiPriority w:val="99"/>
    <w:pPr>
      <w:jc w:val="left"/>
    </w:pPr>
  </w:style>
  <w:style w:type="paragraph" w:styleId="4">
    <w:name w:val="Balloon Text"/>
    <w:basedOn w:val="1"/>
    <w:link w:val="17"/>
    <w:autoRedefine/>
    <w:unhideWhenUsed/>
    <w:qFormat/>
    <w:uiPriority w:val="99"/>
    <w:rPr>
      <w:sz w:val="18"/>
      <w:szCs w:val="18"/>
    </w:rPr>
  </w:style>
  <w:style w:type="paragraph" w:styleId="5">
    <w:name w:val="footer"/>
    <w:basedOn w:val="1"/>
    <w:link w:val="16"/>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unhideWhenUsed/>
    <w:qFormat/>
    <w:uiPriority w:val="99"/>
    <w:rPr>
      <w:b/>
      <w:bCs/>
    </w:rPr>
  </w:style>
  <w:style w:type="character" w:styleId="10">
    <w:name w:val="annotation reference"/>
    <w:autoRedefine/>
    <w:unhideWhenUsed/>
    <w:qFormat/>
    <w:uiPriority w:val="99"/>
    <w:rPr>
      <w:sz w:val="21"/>
      <w:szCs w:val="21"/>
    </w:rPr>
  </w:style>
  <w:style w:type="paragraph" w:customStyle="1" w:styleId="11">
    <w:name w:val="列出段落1"/>
    <w:basedOn w:val="1"/>
    <w:autoRedefine/>
    <w:qFormat/>
    <w:uiPriority w:val="99"/>
    <w:pPr>
      <w:ind w:firstLine="420" w:firstLineChars="200"/>
    </w:pPr>
  </w:style>
  <w:style w:type="paragraph" w:customStyle="1" w:styleId="12">
    <w:name w:val="正文 A"/>
    <w:autoRedefine/>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paragraph" w:customStyle="1" w:styleId="13">
    <w:name w:val="修订1"/>
    <w:autoRedefine/>
    <w:semiHidden/>
    <w:qFormat/>
    <w:uiPriority w:val="99"/>
    <w:rPr>
      <w:rFonts w:ascii="等线" w:hAnsi="等线" w:eastAsia="等线" w:cs="Times New Roman"/>
      <w:kern w:val="2"/>
      <w:sz w:val="21"/>
      <w:szCs w:val="22"/>
      <w:lang w:val="en-US" w:eastAsia="zh-CN" w:bidi="ar-SA"/>
    </w:rPr>
  </w:style>
  <w:style w:type="character" w:customStyle="1" w:styleId="14">
    <w:name w:val="页眉 字符"/>
    <w:link w:val="6"/>
    <w:autoRedefine/>
    <w:qFormat/>
    <w:uiPriority w:val="99"/>
    <w:rPr>
      <w:sz w:val="18"/>
      <w:szCs w:val="18"/>
    </w:rPr>
  </w:style>
  <w:style w:type="character" w:customStyle="1" w:styleId="15">
    <w:name w:val="批注文字 字符"/>
    <w:basedOn w:val="9"/>
    <w:link w:val="3"/>
    <w:autoRedefine/>
    <w:semiHidden/>
    <w:qFormat/>
    <w:uiPriority w:val="99"/>
  </w:style>
  <w:style w:type="character" w:customStyle="1" w:styleId="16">
    <w:name w:val="页脚 字符"/>
    <w:link w:val="5"/>
    <w:autoRedefine/>
    <w:qFormat/>
    <w:uiPriority w:val="99"/>
    <w:rPr>
      <w:sz w:val="18"/>
      <w:szCs w:val="18"/>
    </w:rPr>
  </w:style>
  <w:style w:type="character" w:customStyle="1" w:styleId="17">
    <w:name w:val="批注框文本 字符"/>
    <w:link w:val="4"/>
    <w:autoRedefine/>
    <w:semiHidden/>
    <w:qFormat/>
    <w:uiPriority w:val="99"/>
    <w:rPr>
      <w:sz w:val="18"/>
      <w:szCs w:val="18"/>
    </w:rPr>
  </w:style>
  <w:style w:type="character" w:customStyle="1" w:styleId="18">
    <w:name w:val="标题 1 字符"/>
    <w:link w:val="2"/>
    <w:autoRedefine/>
    <w:qFormat/>
    <w:uiPriority w:val="99"/>
    <w:rPr>
      <w:rFonts w:ascii="Times New Roman" w:hAnsi="Times New Roman" w:eastAsia="宋体" w:cs="Times New Roman"/>
      <w:b/>
      <w:kern w:val="0"/>
      <w:sz w:val="24"/>
      <w:szCs w:val="20"/>
    </w:rPr>
  </w:style>
  <w:style w:type="character" w:customStyle="1" w:styleId="19">
    <w:name w:val="批注主题 字符"/>
    <w:link w:val="7"/>
    <w:autoRedefine/>
    <w:semiHidden/>
    <w:qFormat/>
    <w:uiPriority w:val="99"/>
    <w:rPr>
      <w:b/>
      <w:bCs/>
    </w:rPr>
  </w:style>
  <w:style w:type="paragraph" w:customStyle="1" w:styleId="20">
    <w:name w:val="Revision"/>
    <w:autoRedefine/>
    <w:hidden/>
    <w:unhideWhenUsed/>
    <w:qFormat/>
    <w:uiPriority w:val="99"/>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2233</Words>
  <Characters>2490</Characters>
  <Lines>17</Lines>
  <Paragraphs>4</Paragraphs>
  <TotalTime>23</TotalTime>
  <ScaleCrop>false</ScaleCrop>
  <LinksUpToDate>false</LinksUpToDate>
  <CharactersWithSpaces>2512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2022-12-25T17:37:00Z</dcterms:created>
  <dc:creator>OYANG</dc:creator>
  <cp:lastModifiedBy>夏锐敏</cp:lastModifiedBy>
  <cp:lastPrinted>2025-01-07T07:42:00Z</cp:lastPrinted>
  <dcterms:modified xsi:type="dcterms:W3CDTF">2025-01-22T03:14:02Z</dcterms:modified>
  <dc:title>借款协议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E5DDF898BE7A4D789392F83B57ADA85C_13</vt:lpwstr>
  </property>
  <property fmtid="{D5CDD505-2E9C-101B-9397-08002B2CF9AE}" pid="4" name="KSOTemplateDocerSaveRecord">
    <vt:lpwstr>eyJoZGlkIjoiN2ZmOGIzM2Y2ZTY5OGYwZGVmMzhhZDg2MDNkZTUyYzgiLCJ1c2VySWQiOiI0ODQwNDI3MjMifQ==</vt:lpwstr>
  </property>
</Properties>
</file>